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4.0, effective as of</w:t>
      </w:r>
      <w:r>
        <w:t xml:space="preserve"> </w:t>
      </w:r>
      <w:r>
        <w:rPr>
          <w:b/>
        </w:rPr>
        <w:t xml:space="preserve">August 20, 2024</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User adjustments</w:t>
      </w:r>
      <w:r>
        <w:t xml:space="preserve"> </w:t>
      </w:r>
      <w:r>
        <w:t xml:space="preserve">– If You purchase a Subscription, You will have the right to use Datalore for one (1) or more Users, the number being specified during purchase. You can purchase additional Users for your Subscription at any time, and Your Subscription will be adjusted immediately. You will also be able to decrease the number of Users in Your Datalore Subscription down to a minimum of one (1); however, if You do decide to reduce the number of Users, the decrease will only become effective as of the beginning of the following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(1) Trial Subscription. When the Trial Subscription ends, You will have the option either to continue with a paid Subscription Plan or to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Products Acceptable Use Policy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datalore"/>
      <w:bookmarkEnd w:id="37"/>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5" w:name="c-manual-deletion"/>
      <w:bookmarkEnd w:id="45"/>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6" w:name="fees-and-payments"/>
      <w:bookmarkEnd w:id="46"/>
      <w:r>
        <w:t xml:space="preserve">6. Fees and Payments</w:t>
      </w:r>
    </w:p>
    <w:p>
      <w:pPr>
        <w:pStyle w:val="Heading3"/>
      </w:pPr>
      <w:bookmarkStart w:id="47" w:name="a-subscription-fees"/>
      <w:bookmarkEnd w:id="47"/>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are not permitted to use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8" w:name="b-subscription-billing"/>
      <w:bookmarkEnd w:id="48"/>
      <w: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9" w:name="c-payments-for-additional-users"/>
      <w:bookmarkEnd w:id="49"/>
      <w:r>
        <w:t xml:space="preserve">c) Payments for additional Users</w:t>
      </w:r>
    </w:p>
    <w:p>
      <w:pPr>
        <w:pStyle w:val="FirstParagraph"/>
      </w:pPr>
      <w:r>
        <w:t xml:space="preserve">If You increase the number of Users,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0" w:name="d-paid-credits"/>
      <w:bookmarkEnd w:id="50"/>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f-payments"/>
      <w:bookmarkEnd w:id="51"/>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3" w:name="g-resolution-of-late-payments"/>
      <w:bookmarkEnd w:id="53"/>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Heading3"/>
      </w:pPr>
      <w:bookmarkStart w:id="56" w:name="a-indemnity"/>
      <w:bookmarkEnd w:id="56"/>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7" w:name="b-indemnity-claims"/>
      <w:bookmarkEnd w:id="5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8" w:name="important-your-risk-and-our-disclaimers"/>
      <w:bookmarkEnd w:id="58"/>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9" w:name="important-limitation-of-our-liability"/>
      <w:bookmarkEnd w:id="59"/>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0" w:name="temporary-suspension"/>
      <w:bookmarkEnd w:id="60"/>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1" w:name="term-and-termination"/>
      <w:bookmarkEnd w:id="61"/>
      <w:r>
        <w:t xml:space="preserve">12. Term and Termination</w:t>
      </w:r>
    </w:p>
    <w:p>
      <w:pPr>
        <w:pStyle w:val="Heading3"/>
      </w:pPr>
      <w:bookmarkStart w:id="62" w:name="a-term"/>
      <w:bookmarkEnd w:id="6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3" w:name="b-termination-by-you"/>
      <w:bookmarkEnd w:id="6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4" w:name="c-termination-by-us"/>
      <w:bookmarkEnd w:id="6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5" w:name="d-effect-of-termination"/>
      <w:bookmarkEnd w:id="65"/>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6" w:name="marketing"/>
      <w:bookmarkEnd w:id="66"/>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7" w:name="notices"/>
      <w:bookmarkEnd w:id="67"/>
      <w:r>
        <w:t xml:space="preserve">14. Notices</w:t>
      </w:r>
    </w:p>
    <w:p>
      <w:pPr>
        <w:pStyle w:val="Heading3"/>
      </w:pPr>
      <w:bookmarkStart w:id="68" w:name="a-notices-by-you"/>
      <w:bookmarkEnd w:id="6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0" w:name="b-notices-by-us"/>
      <w:bookmarkEnd w:id="70"/>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1" w:name="export-control-laws"/>
      <w:bookmarkEnd w:id="71"/>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2">
        <w:r>
          <w:rPr>
            <w:rStyle w:val="Hyperlink"/>
          </w:rPr>
          <w:t xml:space="preserve">ethics@jetbrains.com</w:t>
        </w:r>
      </w:hyperlink>
      <w:r>
        <w:t xml:space="preserve">,</w:t>
      </w:r>
      <w:r>
        <w:t xml:space="preserve"> </w:t>
      </w:r>
      <w:hyperlink r:id="rId73">
        <w:r>
          <w:rPr>
            <w:rStyle w:val="Hyperlink"/>
          </w:rPr>
          <w:t xml:space="preserve">compliance@jetbrains.com</w:t>
        </w:r>
      </w:hyperlink>
      <w:r>
        <w:t xml:space="preserve">, or</w:t>
      </w:r>
      <w:r>
        <w:t xml:space="preserve"> </w:t>
      </w:r>
      <w:hyperlink r:id="rId6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4" w:name="general-provisions"/>
      <w:bookmarkEnd w:id="74"/>
      <w:r>
        <w:t xml:space="preserve">16. General Provisions</w:t>
      </w:r>
    </w:p>
    <w:p>
      <w:pPr>
        <w:pStyle w:val="Heading3"/>
      </w:pPr>
      <w:bookmarkStart w:id="75" w:name="a-these-terms-and-their-parties"/>
      <w:bookmarkEnd w:id="75"/>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6">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7" w:name="b-personal-data"/>
      <w:bookmarkEnd w:id="7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9">
        <w:r>
          <w:rPr>
            <w:rStyle w:val="Hyperlink"/>
          </w:rPr>
          <w:t xml:space="preserve">https://www.jetbrains.com/legal/docs/privacy/privacy</w:t>
        </w:r>
      </w:hyperlink>
      <w:r>
        <w:t xml:space="preserve">.</w:t>
      </w:r>
    </w:p>
    <w:p>
      <w:pPr>
        <w:pStyle w:val="Heading3"/>
      </w:pPr>
      <w:bookmarkStart w:id="80" w:name="c-governing-law-and-disputes"/>
      <w:bookmarkEnd w:id="80"/>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1" w:name="d-force-majeure"/>
      <w:bookmarkEnd w:id="81"/>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2" w:name="e-severability"/>
      <w:bookmarkEnd w:id="82"/>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3" w:name="f-interpretation"/>
      <w:bookmarkEnd w:id="83"/>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4" w:name="g-waiver"/>
      <w:bookmarkEnd w:id="84"/>
      <w:r>
        <w:t xml:space="preserve">g) Waiver</w:t>
      </w:r>
    </w:p>
    <w:p>
      <w:pPr>
        <w:pStyle w:val="FirstParagraph"/>
      </w:pPr>
      <w:r>
        <w:t xml:space="preserve">Any waiver of Our rights under these Terms must be in writing and signed by Us.</w:t>
      </w:r>
    </w:p>
    <w:p>
      <w:pPr>
        <w:pStyle w:val="Heading3"/>
      </w:pPr>
      <w:bookmarkStart w:id="85" w:name="h-changes-to-terms-and-policies"/>
      <w:bookmarkEnd w:id="85"/>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6" w:name="i-relationship"/>
      <w:bookmarkEnd w:id="86"/>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7" w:name="j-contract-review"/>
      <w:bookmarkEnd w:id="87"/>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8" w:name="k-reservation-of-rights"/>
      <w:bookmarkEnd w:id="88"/>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89" w:name="l-children-and-minors"/>
      <w:bookmarkEnd w:id="89"/>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5eef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2025-12-24T09:48:25Z</dcterms:created>
  <dcterms:modified xsi:type="dcterms:W3CDTF">2025-12-24T09:48:25Z</dcterms:modified>
</cp:coreProperties>
</file>