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public-summary-of-training-content-for-general-purpose-ai-models"/>
      <w:bookmarkEnd w:id="21"/>
      <w:r>
        <w:t xml:space="preserve">Public Summary of Training Content for General-Purpose AI Models</w:t>
      </w:r>
    </w:p>
    <w:p>
      <w:pPr>
        <w:pStyle w:val="FirstParagraph"/>
      </w:pPr>
      <w:r>
        <w:t xml:space="preserve">Mellum 2 model family public summary for the listed Mellum 2 model weights.</w:t>
      </w:r>
    </w:p>
    <w:tbl>
      <w:tblPr>
        <w:tblStyle w:val="TableNormal"/>
        <w:tblW w:type="pct" w:w="0.0"/>
        <w:tblLook/>
      </w:tblPr>
      <w:tblGrid/>
      <w:tr>
        <w:tc>
          <w:p>
            <w:pPr>
              <w:pStyle w:val="Compact"/>
              <w:jc w:val="left"/>
            </w:pPr>
            <w:r>
              <w:rPr>
                <w:b/>
              </w:rPr>
              <w:t xml:space="preserve">Version of the Summary</w:t>
            </w:r>
          </w:p>
        </w:tc>
        <w:tc>
          <w:p>
            <w:pPr>
              <w:pStyle w:val="Compact"/>
              <w:jc w:val="left"/>
            </w:pPr>
            <w:r>
              <w:t xml:space="preserve">v1.0</w:t>
            </w:r>
          </w:p>
        </w:tc>
      </w:tr>
      <w:tr>
        <w:tc>
          <w:p>
            <w:pPr>
              <w:pStyle w:val="Compact"/>
              <w:jc w:val="left"/>
            </w:pPr>
            <w:r>
              <w:rPr>
                <w:b/>
              </w:rPr>
              <w:t xml:space="preserve">Last update</w:t>
            </w:r>
          </w:p>
        </w:tc>
        <w:tc>
          <w:p>
            <w:pPr>
              <w:pStyle w:val="Compact"/>
              <w:jc w:val="left"/>
            </w:pPr>
            <w:r>
              <w:t xml:space="preserve">29/05/2026</w:t>
            </w:r>
          </w:p>
        </w:tc>
      </w:tr>
      <w:tr>
        <w:tc>
          <w:p>
            <w:pPr>
              <w:pStyle w:val="Compact"/>
              <w:jc w:val="left"/>
            </w:pPr>
            <w:r>
              <w:rPr>
                <w:b/>
              </w:rPr>
              <w:t xml:space="preserve">Scope</w:t>
            </w:r>
          </w:p>
        </w:tc>
        <w:tc>
          <w:p>
            <w:pPr>
              <w:pStyle w:val="Compact"/>
              <w:jc w:val="left"/>
            </w:pPr>
            <w:r>
              <w:t xml:space="preserve">Mellum 2 model family.</w:t>
            </w:r>
          </w:p>
        </w:tc>
      </w:tr>
      <w:tr>
        <w:tc>
          <w:p>
            <w:pPr>
              <w:pStyle w:val="Compact"/>
              <w:jc w:val="left"/>
            </w:pPr>
            <w:r>
              <w:rPr>
                <w:b/>
              </w:rPr>
              <w:t xml:space="preserve">Latest date of data acquisition/collection for model training</w:t>
            </w:r>
          </w:p>
        </w:tc>
        <w:tc>
          <w:p>
            <w:pPr>
              <w:pStyle w:val="Compact"/>
              <w:jc w:val="left"/>
            </w:pPr>
            <w:r>
              <w:t xml:space="preserve">5/2026</w:t>
            </w:r>
          </w:p>
        </w:tc>
      </w:tr>
    </w:tbl>
    <w:p>
      <w:pPr>
        <w:pStyle w:val="Heading2"/>
      </w:pPr>
      <w:bookmarkStart w:id="22" w:name="-1-general-information-"/>
      <w:bookmarkEnd w:id="22"/>
      <w:r>
        <w:rPr>
          <w:b/>
        </w:rPr>
        <w:t xml:space="preserve">1. General information</w:t>
      </w:r>
    </w:p>
    <w:p>
      <w:pPr>
        <w:pStyle w:val="Heading3"/>
      </w:pPr>
      <w:bookmarkStart w:id="23" w:name="-1-1-provider-identification-"/>
      <w:bookmarkEnd w:id="23"/>
      <w:r>
        <w:rPr>
          <w:b/>
        </w:rPr>
        <w:t xml:space="preserve">1.1 Provider identification</w:t>
      </w:r>
    </w:p>
    <w:tbl>
      <w:tblPr>
        <w:tblStyle w:val="TableNormal"/>
        <w:tblW w:type="pct" w:w="0.0"/>
        <w:tblLook/>
      </w:tblPr>
      <w:tblGrid/>
      <w:tr>
        <w:tc>
          <w:p>
            <w:pPr>
              <w:pStyle w:val="Compact"/>
              <w:jc w:val="left"/>
            </w:pPr>
            <w:r>
              <w:rPr>
                <w:b/>
              </w:rPr>
              <w:t xml:space="preserve">Provider name and contact details</w:t>
            </w:r>
          </w:p>
        </w:tc>
        <w:tc>
          <w:p>
            <w:pPr>
              <w:pStyle w:val="Compact"/>
              <w:jc w:val="left"/>
            </w:pPr>
            <w:r>
              <w:t xml:space="preserve">JetBrains s.r.o.</w:t>
            </w:r>
            <w:r>
              <w:br w:type="textWrapping"/>
            </w:r>
            <w:r>
              <w:t xml:space="preserve">mellum@jetbrains.com</w:t>
            </w:r>
          </w:p>
        </w:tc>
      </w:tr>
      <w:tr>
        <w:tc>
          <w:p>
            <w:pPr>
              <w:pStyle w:val="Compact"/>
              <w:jc w:val="left"/>
            </w:pPr>
            <w:r>
              <w:rPr>
                <w:b/>
              </w:rPr>
              <w:t xml:space="preserve">Authorised representative name and contact details</w:t>
            </w:r>
          </w:p>
        </w:tc>
        <w:tc>
          <w:p>
            <w:pPr>
              <w:pStyle w:val="Compact"/>
              <w:jc w:val="left"/>
            </w:pPr>
            <w:r>
              <w:t xml:space="preserve">Not applicable.</w:t>
            </w:r>
          </w:p>
        </w:tc>
      </w:tr>
    </w:tbl>
    <w:p>
      <w:pPr>
        <w:pStyle w:val="Heading3"/>
      </w:pPr>
      <w:bookmarkStart w:id="24" w:name="-1-2-model-identification-"/>
      <w:bookmarkEnd w:id="24"/>
      <w:r>
        <w:rPr>
          <w:b/>
        </w:rPr>
        <w:t xml:space="preserve">1.2 Model identification</w:t>
      </w:r>
    </w:p>
    <w:tbl>
      <w:tblPr>
        <w:tblStyle w:val="TableNormal"/>
        <w:tblW w:type="pct" w:w="5000.0"/>
        <w:tblLook/>
      </w:tblPr>
      <w:tblGrid>
        <w:gridCol w:w="3960"/>
        <w:gridCol w:w="3960"/>
      </w:tblGrid>
      <w:tr>
        <w:tc>
          <w:p>
            <w:pPr>
              <w:pStyle w:val="Compact"/>
              <w:jc w:val="left"/>
            </w:pPr>
            <w:r>
              <w:rPr>
                <w:b/>
              </w:rPr>
              <w:t xml:space="preserve">Versioned model name(s)</w:t>
            </w:r>
          </w:p>
        </w:tc>
        <w:tc>
          <w:p>
            <w:pPr>
              <w:pStyle w:val="Compact"/>
              <w:jc w:val="left"/>
              <w:numPr>
                <w:numId w:val="1001"/>
                <w:ilvl w:val="0"/>
              </w:numPr>
            </w:pPr>
            <w:r>
              <w:t xml:space="preserve">JetBrains/Mellum2-12B-A2.5B-Thinking</w:t>
            </w:r>
          </w:p>
          <w:p>
            <w:pPr>
              <w:pStyle w:val="Compact"/>
              <w:jc w:val="left"/>
              <w:numPr>
                <w:numId w:val="1001"/>
                <w:ilvl w:val="0"/>
              </w:numPr>
            </w:pPr>
            <w:r>
              <w:t xml:space="preserve">JetBrains/Mellum2-12B-A2.5B-Instruct</w:t>
            </w:r>
          </w:p>
          <w:p>
            <w:pPr>
              <w:pStyle w:val="Compact"/>
              <w:jc w:val="left"/>
              <w:numPr>
                <w:numId w:val="1001"/>
                <w:ilvl w:val="0"/>
              </w:numPr>
            </w:pPr>
            <w:r>
              <w:t xml:space="preserve">JetBrains/Mellum2-12B-A2.5B-Thinking-SFT</w:t>
            </w:r>
          </w:p>
          <w:p>
            <w:pPr>
              <w:pStyle w:val="Compact"/>
              <w:jc w:val="left"/>
              <w:numPr>
                <w:numId w:val="1001"/>
                <w:ilvl w:val="0"/>
              </w:numPr>
            </w:pPr>
            <w:r>
              <w:t xml:space="preserve">JetBrains/Mellum2-12B-A2.5B-Instruct-SFT</w:t>
            </w:r>
          </w:p>
          <w:p>
            <w:pPr>
              <w:pStyle w:val="Compact"/>
              <w:jc w:val="left"/>
              <w:numPr>
                <w:numId w:val="1001"/>
                <w:ilvl w:val="0"/>
              </w:numPr>
            </w:pPr>
            <w:r>
              <w:t xml:space="preserve">JetBrains/Mellum2-12B-A2.5B-Base</w:t>
            </w:r>
          </w:p>
          <w:p>
            <w:pPr>
              <w:pStyle w:val="Compact"/>
              <w:jc w:val="left"/>
              <w:numPr>
                <w:numId w:val="1001"/>
                <w:ilvl w:val="0"/>
              </w:numPr>
            </w:pPr>
            <w:r>
              <w:t xml:space="preserve">JetBrains/Mellum2-12B-A2.5B-Base-Pretrain</w:t>
            </w:r>
          </w:p>
        </w:tc>
      </w:tr>
      <w:tr>
        <w:tc>
          <w:p>
            <w:pPr>
              <w:pStyle w:val="Compact"/>
              <w:jc w:val="left"/>
            </w:pPr>
            <w:r>
              <w:rPr>
                <w:b/>
              </w:rPr>
              <w:t xml:space="preserve">Model dependencies</w:t>
            </w:r>
          </w:p>
        </w:tc>
        <w:tc>
          <w:p>
            <w:pPr>
              <w:pStyle w:val="Compact"/>
              <w:jc w:val="left"/>
              <w:numPr>
                <w:numId w:val="1002"/>
                <w:ilvl w:val="0"/>
              </w:numPr>
            </w:pPr>
            <w:r>
              <w:t xml:space="preserve">Base-Pretrain: pre-trained base.</w:t>
            </w:r>
          </w:p>
          <w:p>
            <w:pPr>
              <w:pStyle w:val="Compact"/>
              <w:jc w:val="left"/>
              <w:numPr>
                <w:numId w:val="1002"/>
                <w:ilvl w:val="0"/>
              </w:numPr>
            </w:pPr>
            <w:r>
              <w:t xml:space="preserve">Base: Base-Pretrain with 128K context extension.</w:t>
            </w:r>
          </w:p>
          <w:p>
            <w:pPr>
              <w:pStyle w:val="Compact"/>
              <w:jc w:val="left"/>
              <w:numPr>
                <w:numId w:val="1002"/>
                <w:ilvl w:val="0"/>
              </w:numPr>
            </w:pPr>
            <w:r>
              <w:t xml:space="preserve">Instruct-SFT: Base + supervised fine-tuning.</w:t>
            </w:r>
          </w:p>
          <w:p>
            <w:pPr>
              <w:pStyle w:val="Compact"/>
              <w:jc w:val="left"/>
              <w:numPr>
                <w:numId w:val="1002"/>
                <w:ilvl w:val="0"/>
              </w:numPr>
            </w:pPr>
            <w:r>
              <w:t xml:space="preserve">Thinking-SFT: Base + supervised fine-tuning with reasoning traces.</w:t>
            </w:r>
          </w:p>
          <w:p>
            <w:pPr>
              <w:pStyle w:val="Compact"/>
              <w:jc w:val="left"/>
              <w:numPr>
                <w:numId w:val="1002"/>
                <w:ilvl w:val="0"/>
              </w:numPr>
            </w:pPr>
            <w:r>
              <w:t xml:space="preserve">Instruct: Instruct-SFT + RLVR.</w:t>
            </w:r>
          </w:p>
          <w:p>
            <w:pPr>
              <w:pStyle w:val="Compact"/>
              <w:jc w:val="left"/>
              <w:numPr>
                <w:numId w:val="1002"/>
                <w:ilvl w:val="0"/>
              </w:numPr>
            </w:pPr>
            <w:r>
              <w:t xml:space="preserve">Thinking: Thinking-SFT + RLVR.</w:t>
            </w:r>
          </w:p>
        </w:tc>
      </w:tr>
      <w:tr>
        <w:tc>
          <w:p>
            <w:pPr>
              <w:pStyle w:val="Compact"/>
              <w:jc w:val="left"/>
            </w:pPr>
            <w:r>
              <w:rPr>
                <w:b/>
              </w:rPr>
              <w:t xml:space="preserve">Date of placement of the model on the Union market</w:t>
            </w:r>
          </w:p>
        </w:tc>
        <w:tc>
          <w:p>
            <w:pPr>
              <w:pStyle w:val="Compact"/>
              <w:jc w:val="left"/>
            </w:pPr>
            <w:r>
              <w:t xml:space="preserve">29/05/2026</w:t>
            </w:r>
          </w:p>
        </w:tc>
      </w:tr>
    </w:tbl>
    <w:p>
      <w:pPr>
        <w:pStyle w:val="BodyText"/>
      </w:pPr>
      <w:r>
        <w:t xml:space="preserve">Scope: Covers the listed Base, SFT, Instruct, and Thinking variants.</w:t>
      </w:r>
    </w:p>
    <w:p>
      <w:pPr>
        <w:pStyle w:val="Heading3"/>
      </w:pPr>
      <w:bookmarkStart w:id="25" w:name="-1-3-modalities-overall-training-data-size-and-other-characteristics-"/>
      <w:bookmarkEnd w:id="25"/>
      <w:r>
        <w:rPr>
          <w:b/>
        </w:rPr>
        <w:t xml:space="preserve">1.3 Modalities, overall training data size and other characteristics</w:t>
      </w:r>
    </w:p>
    <w:p>
      <w:pPr>
        <w:pStyle w:val="Compact"/>
      </w:pPr>
      <w:r>
        <w:t xml:space="preserve">Modality</w:t>
      </w:r>
    </w:p>
    <w:p>
      <w:pPr>
        <w:pStyle w:val="Compact"/>
      </w:pPr>
      <w:r>
        <w:t xml:space="preserve">Training data size</w:t>
      </w:r>
    </w:p>
    <w:p>
      <w:pPr>
        <w:pStyle w:val="Compact"/>
      </w:pPr>
      <w:r>
        <w:t xml:space="preserve">Types of content</w:t>
      </w:r>
    </w:p>
    <w:p>
      <w:pPr>
        <w:pStyle w:val="Compact"/>
      </w:pPr>
      <w:r>
        <w:t xml:space="preserve">[x] Text</w:t>
      </w:r>
    </w:p>
    <w:p>
      <w:pPr>
        <w:pStyle w:val="Compact"/>
      </w:pPr>
      <w:r>
        <w:t xml:space="preserve">Selected range: More than 10 trillion tokens.</w:t>
      </w:r>
      <w:r>
        <w:br w:type="textWrapping"/>
      </w:r>
      <w:r>
        <w:br w:type="textWrapping"/>
      </w:r>
      <w:r>
        <w:t xml:space="preserve">Pre-training: ~10.65T tokens.</w:t>
      </w:r>
      <w:r>
        <w:br w:type="textWrapping"/>
      </w:r>
      <w:r>
        <w:br w:type="textWrapping"/>
      </w:r>
      <w:r>
        <w:t xml:space="preserve">Additional training: ~117B long-context tokens, ~47B Instruct SFT tokens, ~167B Thinking SFT tokens, and RLVR for final Instruct/Thinking variants.</w:t>
      </w:r>
    </w:p>
    <w:p>
      <w:pPr>
        <w:pStyle w:val="Compact"/>
      </w:pPr>
      <w:r>
        <w:t xml:space="preserve">Web and general knowledge text; source code; web pages containing code; mathematical text; educational web content and PDFs; multilingual reasoning and QA; curated SFT/STEM/knowledge sources; Wikipedia rewrites; synthetic encyclopedic articles; synthetic and derived code annotations; chat and instruction-following; tool use/function calling; agentic coding; safety and identity examples.</w:t>
      </w:r>
    </w:p>
    <w:p>
      <w:pPr>
        <w:pStyle w:val="Compact"/>
      </w:pPr>
      <w:r>
        <w:t xml:space="preserve">[ ] Image</w:t>
      </w:r>
    </w:p>
    <w:p>
      <w:pPr>
        <w:pStyle w:val="Compact"/>
      </w:pPr>
      <w:r>
        <w:t xml:space="preserve">Not applicable.</w:t>
      </w:r>
    </w:p>
    <w:p>
      <w:pPr>
        <w:pStyle w:val="Compact"/>
      </w:pPr>
      <w:r>
        <w:t xml:space="preserve">Not applicable.</w:t>
      </w:r>
    </w:p>
    <w:p>
      <w:pPr>
        <w:pStyle w:val="Compact"/>
      </w:pPr>
      <w:r>
        <w:t xml:space="preserve">[ ] Audio</w:t>
      </w:r>
    </w:p>
    <w:p>
      <w:pPr>
        <w:pStyle w:val="Compact"/>
      </w:pPr>
      <w:r>
        <w:t xml:space="preserve">Not applicable.</w:t>
      </w:r>
    </w:p>
    <w:p>
      <w:pPr>
        <w:pStyle w:val="Compact"/>
      </w:pPr>
      <w:r>
        <w:t xml:space="preserve">Not applicable.</w:t>
      </w:r>
    </w:p>
    <w:p>
      <w:pPr>
        <w:pStyle w:val="Compact"/>
      </w:pPr>
      <w:r>
        <w:t xml:space="preserve">[ ] Video</w:t>
      </w:r>
    </w:p>
    <w:p>
      <w:pPr>
        <w:pStyle w:val="Compact"/>
      </w:pPr>
      <w:r>
        <w:t xml:space="preserve">Not applicable.</w:t>
      </w:r>
    </w:p>
    <w:p>
      <w:pPr>
        <w:pStyle w:val="Compact"/>
      </w:pPr>
      <w:r>
        <w:t xml:space="preserve">Not applicable.</w:t>
      </w:r>
    </w:p>
    <w:p>
      <w:pPr>
        <w:pStyle w:val="Compact"/>
      </w:pPr>
      <w:r>
        <w:t xml:space="preserve">[ ] Other</w:t>
      </w:r>
    </w:p>
    <w:p>
      <w:pPr>
        <w:pStyle w:val="Compact"/>
      </w:pPr>
      <w:r>
        <w:t xml:space="preserve">Not applicable.</w:t>
      </w:r>
    </w:p>
    <w:p>
      <w:pPr>
        <w:pStyle w:val="Compact"/>
      </w:pPr>
      <w:r>
        <w:t xml:space="preserve">Programming language source code is treated as text.</w:t>
      </w:r>
    </w:p>
    <w:p>
      <w:pPr>
        <w:pStyle w:val="Compact"/>
      </w:pPr>
      <w:r>
        <w:rPr>
          <w:b/>
        </w:rPr>
        <w:t xml:space="preserve">Description of the linguistic characteristics of the overall training data</w:t>
      </w:r>
    </w:p>
    <w:p>
      <w:pPr>
        <w:pStyle w:val="Compact"/>
      </w:pPr>
      <w:r>
        <w:t xml:space="preserve">Multilingual text and QA data. Source code covers Python, Java, PHP, TypeScript, C#, JavaScript, JSX, Rust, Kotlin, Go, C++, and CSS. Detailed language shares are not specified.</w:t>
      </w:r>
    </w:p>
    <w:p>
      <w:pPr>
        <w:pStyle w:val="Compact"/>
      </w:pPr>
      <w:r>
        <w:rPr>
          <w:b/>
        </w:rPr>
        <w:t xml:space="preserve">Other relevant characteristics of the overall training data</w:t>
      </w:r>
    </w:p>
    <w:p>
      <w:pPr>
        <w:pStyle w:val="Compact"/>
      </w:pPr>
      <w:r>
        <w:t xml:space="preserve">Software-engineering focus. Training shifts toward code and math:</w:t>
      </w:r>
    </w:p>
    <w:p>
      <w:pPr>
        <w:pStyle w:val="Compact"/>
        <w:numPr>
          <w:numId w:val="1003"/>
          <w:ilvl w:val="0"/>
        </w:numPr>
      </w:pPr>
      <w:r>
        <w:t xml:space="preserve">Phase 1: 70% web, 23% code, 6% math.</w:t>
      </w:r>
    </w:p>
    <w:p>
      <w:pPr>
        <w:pStyle w:val="Compact"/>
        <w:numPr>
          <w:numId w:val="1003"/>
          <w:ilvl w:val="0"/>
        </w:numPr>
      </w:pPr>
      <w:r>
        <w:t xml:space="preserve">Phase 2: 44% web, 42% code, 14% math.</w:t>
      </w:r>
    </w:p>
    <w:p>
      <w:pPr>
        <w:pStyle w:val="Compact"/>
        <w:numPr>
          <w:numId w:val="1003"/>
          <w:ilvl w:val="0"/>
        </w:numPr>
      </w:pPr>
      <w:r>
        <w:t xml:space="preserve">Phase 3: 23% web, 59% code, 18% math.</w:t>
      </w:r>
    </w:p>
    <w:p>
      <w:pPr>
        <w:pStyle w:val="Compact"/>
      </w:pPr>
      <w:r>
        <w:t xml:space="preserve">Code data includes permissively licensed public repositories, deduplicated at file level. Long-context training includes repository-level FIM examples.</w:t>
      </w:r>
    </w:p>
    <w:p>
      <w:pPr>
        <w:pStyle w:val="Compact"/>
      </w:pPr>
      <w:r>
        <w:rPr>
          <w:b/>
        </w:rPr>
        <w:t xml:space="preserve">Additional comments</w:t>
      </w:r>
    </w:p>
    <w:p>
      <w:pPr>
        <w:pStyle w:val="Compact"/>
      </w:pPr>
      <w:r>
        <w:t xml:space="preserve">Vocabulary: 98,304 tokens. Objectives: next-token prediction and fill-in-the-middle.</w:t>
      </w:r>
    </w:p>
    <w:p>
      <w:pPr>
        <w:pStyle w:val="Heading2"/>
      </w:pPr>
      <w:bookmarkStart w:id="26" w:name="-2-list-of-data-sources-"/>
      <w:bookmarkEnd w:id="26"/>
      <w:r>
        <w:rPr>
          <w:b/>
        </w:rPr>
        <w:t xml:space="preserve">2. List of data sources</w:t>
      </w:r>
    </w:p>
    <w:p>
      <w:pPr>
        <w:pStyle w:val="Heading3"/>
      </w:pPr>
      <w:bookmarkStart w:id="27" w:name="-2-1-publicly-available-datasets-"/>
      <w:bookmarkEnd w:id="27"/>
      <w:r>
        <w:rPr>
          <w:b/>
        </w:rPr>
        <w:t xml:space="preserve">2.1 Publicly available datasets</w:t>
      </w:r>
    </w:p>
    <w:tbl>
      <w:tblPr>
        <w:tblStyle w:val="TableNormal"/>
        <w:tblW w:type="pct" w:w="5000.0"/>
        <w:tblLook/>
      </w:tblPr>
      <w:tblGrid>
        <w:gridCol w:w="3960"/>
        <w:gridCol w:w="3960"/>
      </w:tblGrid>
      <w:tr>
        <w:tc>
          <w:p>
            <w:pPr>
              <w:pStyle w:val="Compact"/>
              <w:jc w:val="left"/>
            </w:pPr>
            <w:r>
              <w:rPr>
                <w:b/>
              </w:rPr>
              <w:t xml:space="preserve">Have publicly available datasets been used?</w:t>
            </w:r>
          </w:p>
        </w:tc>
        <w:tc>
          <w:p>
            <w:pPr>
              <w:pStyle w:val="Compact"/>
              <w:jc w:val="left"/>
            </w:pPr>
            <w:r>
              <w:t xml:space="preserve">[x] Yes [ ] No</w:t>
            </w:r>
          </w:p>
        </w:tc>
      </w:tr>
      <w:tr>
        <w:tc>
          <w:p>
            <w:pPr>
              <w:pStyle w:val="Compact"/>
              <w:jc w:val="left"/>
            </w:pPr>
            <w:r>
              <w:rPr>
                <w:b/>
              </w:rPr>
              <w:t xml:space="preserve">Modality of content covered</w:t>
            </w:r>
          </w:p>
        </w:tc>
        <w:tc>
          <w:p>
            <w:pPr>
              <w:pStyle w:val="Compact"/>
              <w:jc w:val="left"/>
            </w:pPr>
            <w:r>
              <w:t xml:space="preserve">[x] Text [ ] Image [ ] Video [ ] Audio [ ] Other</w:t>
            </w:r>
          </w:p>
        </w:tc>
      </w:tr>
      <w:tr>
        <w:tc>
          <w:p>
            <w:pPr>
              <w:pStyle w:val="Compact"/>
              <w:jc w:val="left"/>
            </w:pPr>
            <w:r>
              <w:rPr>
                <w:b/>
              </w:rPr>
              <w:t xml:space="preserve">List of large publicly available datasets</w:t>
            </w:r>
          </w:p>
        </w:tc>
        <w:tc>
          <w:p>
            <w:pPr>
              <w:pStyle w:val="Compact"/>
              <w:jc w:val="left"/>
            </w:pPr>
            <w:r>
              <w:t xml:space="preserve">Large/source categories include:</w:t>
            </w:r>
          </w:p>
          <w:p>
            <w:pPr>
              <w:pStyle w:val="Compact"/>
              <w:jc w:val="left"/>
              <w:numPr>
                <w:numId w:val="1004"/>
                <w:ilvl w:val="0"/>
              </w:numPr>
            </w:pPr>
            <w:r>
              <w:t xml:space="preserve">Common Crawl-derived web corpora and code pages.</w:t>
            </w:r>
          </w:p>
          <w:p>
            <w:pPr>
              <w:pStyle w:val="Compact"/>
              <w:jc w:val="left"/>
              <w:numPr>
                <w:numId w:val="1004"/>
                <w:ilvl w:val="0"/>
              </w:numPr>
            </w:pPr>
            <w:r>
              <w:t xml:space="preserve">Public repositories with permissively licensed source code.</w:t>
            </w:r>
          </w:p>
          <w:p>
            <w:pPr>
              <w:pStyle w:val="Compact"/>
              <w:jc w:val="left"/>
              <w:numPr>
                <w:numId w:val="1004"/>
                <w:ilvl w:val="0"/>
              </w:numPr>
            </w:pPr>
            <w:r>
              <w:t xml:space="preserve">Educational web content and PDFs.</w:t>
            </w:r>
          </w:p>
          <w:p>
            <w:pPr>
              <w:pStyle w:val="Compact"/>
              <w:jc w:val="left"/>
              <w:numPr>
                <w:numId w:val="1004"/>
                <w:ilvl w:val="0"/>
              </w:numPr>
            </w:pPr>
            <w:r>
              <w:t xml:space="preserve">Multilingual reasoning and QA datasets.</w:t>
            </w:r>
          </w:p>
          <w:p>
            <w:pPr>
              <w:pStyle w:val="Compact"/>
              <w:jc w:val="left"/>
              <w:numPr>
                <w:numId w:val="1004"/>
                <w:ilvl w:val="0"/>
              </w:numPr>
            </w:pPr>
            <w:r>
              <w:t xml:space="preserve">Curated knowledge, SFT, STEM instruction, Wikipedia rewrites, and synthetic encyclopedic articles.</w:t>
            </w:r>
          </w:p>
          <w:p>
            <w:pPr>
              <w:pStyle w:val="Compact"/>
              <w:jc w:val="left"/>
              <w:numPr>
                <w:numId w:val="1004"/>
                <w:ilvl w:val="0"/>
              </w:numPr>
            </w:pPr>
            <w:r>
              <w:t xml:space="preserve">Math web content, permissively licensed math textbooks, math SFT, and math instruction data.</w:t>
            </w:r>
          </w:p>
          <w:p>
            <w:pPr>
              <w:pStyle w:val="Compact"/>
              <w:jc w:val="left"/>
              <w:numPr>
                <w:numId w:val="1004"/>
                <w:ilvl w:val="0"/>
              </w:numPr>
            </w:pPr>
            <w:r>
              <w:t xml:space="preserve">Public RLVR/SFT sources including OLMo-3 math RL, Nemotron/NeMo Gym-style math, tool-use and instruction tasks, reasoning-gym, xLAM-style function-calling, and workplace-assistant tasks.</w:t>
            </w:r>
          </w:p>
          <w:p>
            <w:pPr>
              <w:pStyle w:val="Compact"/>
              <w:jc w:val="left"/>
            </w:pPr>
            <w:r>
              <w:t xml:space="preserve">The approximate start date of the data collection is not known. The data collection ended in May 2026.</w:t>
            </w:r>
          </w:p>
        </w:tc>
      </w:tr>
      <w:tr>
        <w:tc>
          <w:p>
            <w:pPr>
              <w:pStyle w:val="Compact"/>
              <w:jc w:val="left"/>
            </w:pPr>
            <w:r>
              <w:rPr>
                <w:b/>
              </w:rPr>
              <w:t xml:space="preserve">General description of other publicly available datasets not listed above</w:t>
            </w:r>
          </w:p>
        </w:tc>
        <w:tc>
          <w:p>
            <w:pPr>
              <w:pStyle w:val="Compact"/>
              <w:jc w:val="left"/>
            </w:pPr>
            <w:r>
              <w:t xml:space="preserve">Other public text sources include code, instruction data, QA, STEM material, math tasks, structured-output tasks, calendar-scheduling tasks, tool-use tasks, and procedurally generated reasoning tasks.</w:t>
            </w:r>
          </w:p>
        </w:tc>
      </w:tr>
      <w:tr>
        <w:tc>
          <w:p>
            <w:pPr>
              <w:pStyle w:val="Compact"/>
              <w:jc w:val="left"/>
            </w:pPr>
            <w:r>
              <w:rPr>
                <w:b/>
              </w:rPr>
              <w:t xml:space="preserve">Additional comments</w:t>
            </w:r>
          </w:p>
        </w:tc>
        <w:tc>
          <w:p>
            <w:pPr>
              <w:pStyle w:val="Compact"/>
              <w:jc w:val="left"/>
            </w:pPr>
            <w:r>
              <w:t xml:space="preserve">Dataset-level sizes, dates, and links are not specified.</w:t>
            </w:r>
          </w:p>
        </w:tc>
      </w:tr>
    </w:tbl>
    <w:p>
      <w:pPr>
        <w:pStyle w:val="Heading3"/>
      </w:pPr>
      <w:bookmarkStart w:id="28" w:name="-2-2-private-non-publicly-available-datasets-obtained-from-third-parties-"/>
      <w:bookmarkEnd w:id="28"/>
      <w:r>
        <w:rPr>
          <w:b/>
        </w:rPr>
        <w:t xml:space="preserve">2.2 Private non-publicly available datasets obtained from third parties</w:t>
      </w:r>
    </w:p>
    <w:p>
      <w:pPr>
        <w:pStyle w:val="Heading4"/>
      </w:pPr>
      <w:bookmarkStart w:id="29" w:name="-2-2-1-datasets-commercially-licensed-by-rightsholders-or-their-representatives-"/>
      <w:bookmarkEnd w:id="29"/>
      <w:r>
        <w:rPr>
          <w:b/>
        </w:rPr>
        <w:t xml:space="preserve">2.2.1 Datasets commercially licensed by rightsholders or their representatives</w:t>
      </w:r>
    </w:p>
    <w:tbl>
      <w:tblPr>
        <w:tblStyle w:val="TableNormal"/>
        <w:tblW w:type="pct" w:w="0.0"/>
        <w:tblLook/>
      </w:tblPr>
      <w:tblGrid/>
      <w:tr>
        <w:tc>
          <w:p>
            <w:pPr>
              <w:pStyle w:val="Compact"/>
              <w:jc w:val="left"/>
            </w:pPr>
            <w:r>
              <w:rPr>
                <w:b/>
              </w:rPr>
              <w:t xml:space="preserve">Have transactional commercial licensing agreements been concluded?</w:t>
            </w:r>
          </w:p>
        </w:tc>
        <w:tc>
          <w:p>
            <w:pPr>
              <w:pStyle w:val="Compact"/>
              <w:jc w:val="left"/>
            </w:pPr>
            <w:r>
              <w:t xml:space="preserve">[ ] Yes [x] No</w:t>
            </w:r>
          </w:p>
        </w:tc>
      </w:tr>
      <w:tr>
        <w:tc>
          <w:p>
            <w:pPr>
              <w:pStyle w:val="Compact"/>
              <w:jc w:val="left"/>
            </w:pPr>
            <w:r>
              <w:rPr>
                <w:b/>
              </w:rPr>
              <w:t xml:space="preserve">Modality of content covered</w:t>
            </w:r>
          </w:p>
        </w:tc>
        <w:tc>
          <w:p>
            <w:pPr>
              <w:pStyle w:val="Compact"/>
              <w:jc w:val="left"/>
            </w:pPr>
            <w:r>
              <w:t xml:space="preserve">Not applicable.</w:t>
            </w:r>
          </w:p>
        </w:tc>
      </w:tr>
    </w:tbl>
    <w:p>
      <w:pPr>
        <w:pStyle w:val="Heading4"/>
      </w:pPr>
      <w:bookmarkStart w:id="30" w:name="-2-2-2-private-datasets-obtained-from-other-third-parties-"/>
      <w:bookmarkEnd w:id="30"/>
      <w:r>
        <w:rPr>
          <w:b/>
        </w:rPr>
        <w:t xml:space="preserve">2.2.2 Private datasets obtained from other third parties</w:t>
      </w:r>
    </w:p>
    <w:tbl>
      <w:tblPr>
        <w:tblStyle w:val="TableNormal"/>
        <w:tblW w:type="pct" w:w="0.0"/>
        <w:tblLook/>
      </w:tblPr>
      <w:tblGrid/>
      <w:tr>
        <w:tc>
          <w:p>
            <w:pPr>
              <w:pStyle w:val="Compact"/>
              <w:jc w:val="left"/>
            </w:pPr>
            <w:r>
              <w:rPr>
                <w:b/>
              </w:rPr>
              <w:t xml:space="preserve">Have private datasets been obtained from other third parties?</w:t>
            </w:r>
          </w:p>
        </w:tc>
        <w:tc>
          <w:p>
            <w:pPr>
              <w:pStyle w:val="Compact"/>
              <w:jc w:val="left"/>
            </w:pPr>
            <w:r>
              <w:t xml:space="preserve">[ ] Yes [x] No</w:t>
            </w:r>
          </w:p>
        </w:tc>
      </w:tr>
      <w:tr>
        <w:tc>
          <w:p>
            <w:pPr>
              <w:pStyle w:val="Compact"/>
              <w:jc w:val="left"/>
            </w:pPr>
            <w:r>
              <w:rPr>
                <w:b/>
              </w:rPr>
              <w:t xml:space="preserve">Modality of content covered</w:t>
            </w:r>
          </w:p>
        </w:tc>
        <w:tc>
          <w:p>
            <w:pPr>
              <w:pStyle w:val="Compact"/>
              <w:jc w:val="left"/>
            </w:pPr>
            <w:r>
              <w:t xml:space="preserve">Not applicable.</w:t>
            </w:r>
          </w:p>
        </w:tc>
      </w:tr>
      <w:tr>
        <w:tc>
          <w:p>
            <w:pPr>
              <w:pStyle w:val="Compact"/>
              <w:jc w:val="left"/>
            </w:pPr>
            <w:r>
              <w:rPr>
                <w:b/>
              </w:rPr>
              <w:t xml:space="preserve">If publicly known, list private datasets from other third parties</w:t>
            </w:r>
          </w:p>
        </w:tc>
        <w:tc>
          <w:p>
            <w:pPr>
              <w:pStyle w:val="Compact"/>
              <w:jc w:val="left"/>
            </w:pPr>
            <w:r>
              <w:t xml:space="preserve">Not applicable.</w:t>
            </w:r>
          </w:p>
        </w:tc>
      </w:tr>
      <w:tr>
        <w:tc>
          <w:p>
            <w:pPr>
              <w:pStyle w:val="Compact"/>
              <w:jc w:val="left"/>
            </w:pPr>
            <w:r>
              <w:rPr>
                <w:b/>
              </w:rPr>
              <w:t xml:space="preserve">General description of non-publicly known private datasets</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Provider-created sources are listed in Section 2.6.</w:t>
            </w:r>
          </w:p>
        </w:tc>
      </w:tr>
    </w:tbl>
    <w:p>
      <w:pPr>
        <w:pStyle w:val="Heading3"/>
      </w:pPr>
      <w:bookmarkStart w:id="31" w:name="-2-3-data-crawled-and-scraped-from-online-sources-"/>
      <w:bookmarkEnd w:id="31"/>
      <w:r>
        <w:rPr>
          <w:b/>
        </w:rPr>
        <w:t xml:space="preserve">2.3 Data crawled and scraped from online sources</w:t>
      </w:r>
    </w:p>
    <w:tbl>
      <w:tblPr>
        <w:tblStyle w:val="TableNormal"/>
        <w:tblW w:type="pct" w:w="5000.0"/>
        <w:tblLook/>
      </w:tblPr>
      <w:tblGrid>
        <w:gridCol w:w="3960"/>
        <w:gridCol w:w="3960"/>
      </w:tblGrid>
      <w:tr>
        <w:tc>
          <w:p>
            <w:pPr>
              <w:pStyle w:val="Compact"/>
              <w:jc w:val="left"/>
            </w:pPr>
            <w:r>
              <w:rPr>
                <w:b/>
              </w:rPr>
              <w:t xml:space="preserve">Were crawlers used by the provider or on behalf of the provider?</w:t>
            </w:r>
          </w:p>
        </w:tc>
        <w:tc>
          <w:p>
            <w:pPr>
              <w:pStyle w:val="Compact"/>
              <w:jc w:val="left"/>
            </w:pPr>
            <w:r>
              <w:t xml:space="preserve">[ ] Yes [x] No</w:t>
            </w:r>
          </w:p>
        </w:tc>
      </w:tr>
      <w:tr>
        <w:tc>
          <w:p>
            <w:pPr>
              <w:pStyle w:val="Compact"/>
              <w:jc w:val="left"/>
            </w:pPr>
            <w:r>
              <w:rPr>
                <w:b/>
              </w:rPr>
              <w:t xml:space="preserve">Crawler name(s)/identifier(s)</w:t>
            </w:r>
          </w:p>
        </w:tc>
        <w:tc>
          <w:p>
            <w:pPr>
              <w:pStyle w:val="Compact"/>
              <w:jc w:val="left"/>
            </w:pPr>
            <w:r>
              <w:t xml:space="preserve">Not applicable.</w:t>
            </w:r>
          </w:p>
        </w:tc>
      </w:tr>
      <w:tr>
        <w:tc>
          <w:p>
            <w:pPr>
              <w:pStyle w:val="Compact"/>
              <w:jc w:val="left"/>
            </w:pPr>
            <w:r>
              <w:rPr>
                <w:b/>
              </w:rPr>
              <w:t xml:space="preserve">Purposes of crawler(s)</w:t>
            </w:r>
          </w:p>
        </w:tc>
        <w:tc>
          <w:p>
            <w:pPr>
              <w:pStyle w:val="Compact"/>
              <w:jc w:val="left"/>
            </w:pPr>
            <w:r>
              <w:t xml:space="preserve">Not applicable.</w:t>
            </w:r>
          </w:p>
        </w:tc>
      </w:tr>
      <w:tr>
        <w:tc>
          <w:p>
            <w:pPr>
              <w:pStyle w:val="Compact"/>
              <w:jc w:val="left"/>
            </w:pPr>
            <w:r>
              <w:rPr>
                <w:b/>
              </w:rPr>
              <w:t xml:space="preserve">General description of crawler behaviour</w:t>
            </w:r>
          </w:p>
        </w:tc>
        <w:tc>
          <w:p>
            <w:pPr>
              <w:pStyle w:val="Compact"/>
              <w:jc w:val="left"/>
            </w:pPr>
            <w:r>
              <w:t xml:space="preserve">Not applicable.</w:t>
            </w:r>
          </w:p>
        </w:tc>
      </w:tr>
      <w:tr>
        <w:tc>
          <w:p>
            <w:pPr>
              <w:pStyle w:val="Compact"/>
              <w:jc w:val="left"/>
            </w:pPr>
            <w:r>
              <w:rPr>
                <w:b/>
              </w:rPr>
              <w:t xml:space="preserve">Period of data collection</w:t>
            </w:r>
          </w:p>
        </w:tc>
        <w:tc>
          <w:p>
            <w:pPr>
              <w:pStyle w:val="Compact"/>
              <w:jc w:val="left"/>
            </w:pPr>
            <w:r>
              <w:t xml:space="preserve">Not applicable.</w:t>
            </w:r>
          </w:p>
        </w:tc>
      </w:tr>
      <w:tr>
        <w:tc>
          <w:p>
            <w:pPr>
              <w:pStyle w:val="Compact"/>
              <w:jc w:val="left"/>
            </w:pPr>
            <w:r>
              <w:rPr>
                <w:b/>
              </w:rPr>
              <w:t xml:space="preserve">Comprehensive description of type of content and online sources crawled</w:t>
            </w:r>
          </w:p>
        </w:tc>
        <w:tc>
          <w:p>
            <w:pPr>
              <w:pStyle w:val="Compact"/>
              <w:jc w:val="left"/>
            </w:pPr>
            <w:r>
              <w:t xml:space="preserve">Not applicable.</w:t>
            </w:r>
          </w:p>
        </w:tc>
      </w:tr>
      <w:tr>
        <w:tc>
          <w:p>
            <w:pPr>
              <w:pStyle w:val="Compact"/>
              <w:jc w:val="left"/>
            </w:pPr>
            <w:r>
              <w:rPr>
                <w:b/>
              </w:rPr>
              <w:t xml:space="preserve">Type of modality covered</w:t>
            </w:r>
          </w:p>
        </w:tc>
        <w:tc>
          <w:p>
            <w:pPr>
              <w:pStyle w:val="Compact"/>
              <w:jc w:val="left"/>
            </w:pPr>
            <w:r>
              <w:t xml:space="preserve">Not applicable.</w:t>
            </w:r>
          </w:p>
        </w:tc>
      </w:tr>
      <w:tr>
        <w:tc>
          <w:p>
            <w:pPr>
              <w:pStyle w:val="Compact"/>
              <w:jc w:val="left"/>
            </w:pPr>
            <w:r>
              <w:rPr>
                <w:b/>
              </w:rPr>
              <w:t xml:space="preserve">Summary of most relevant domain names crawled</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Common Crawl-derived data is listed in Section 2.1.</w:t>
            </w:r>
          </w:p>
        </w:tc>
      </w:tr>
      <w:tr>
        <w:tc>
          <w:p>
            <w:pPr>
              <w:pStyle w:val="Compact"/>
              <w:jc w:val="left"/>
            </w:pPr>
            <w:r>
              <w:rPr>
                <w:b/>
              </w:rPr>
              <w:t xml:space="preserve">Have sources other than Sections 2.1 to 2.5 been used?</w:t>
            </w:r>
          </w:p>
        </w:tc>
        <w:tc>
          <w:p>
            <w:pPr>
              <w:pStyle w:val="Compact"/>
              <w:jc w:val="left"/>
            </w:pPr>
            <w:r>
              <w:t xml:space="preserve">[x] Yes</w:t>
            </w:r>
          </w:p>
        </w:tc>
      </w:tr>
      <w:tr>
        <w:tc>
          <w:p>
            <w:pPr>
              <w:pStyle w:val="Compact"/>
              <w:jc w:val="left"/>
            </w:pPr>
            <w:r>
              <w:rPr>
                <w:b/>
              </w:rPr>
              <w:t xml:space="preserve">Narrative description of these sources and data</w:t>
            </w:r>
          </w:p>
        </w:tc>
        <w:tc>
          <w:p>
            <w:pPr>
              <w:pStyle w:val="Compact"/>
              <w:jc w:val="left"/>
            </w:pPr>
            <w:r>
              <w:t xml:space="preserve">Provider-created and task-specific sources include:</w:t>
            </w:r>
          </w:p>
          <w:p>
            <w:pPr>
              <w:pStyle w:val="Compact"/>
              <w:jc w:val="left"/>
              <w:numPr>
                <w:numId w:val="1005"/>
                <w:ilvl w:val="0"/>
              </w:numPr>
            </w:pPr>
            <w:r>
              <w:t xml:space="preserve">Multi-language coding tasks: Python, Java, PHP, TypeScript, C#, JavaScript, JSX, Rust, Kotlin, Go, C++, and CSS.</w:t>
            </w:r>
          </w:p>
          <w:p>
            <w:pPr>
              <w:pStyle w:val="Compact"/>
              <w:jc w:val="left"/>
              <w:numPr>
                <w:numId w:val="1005"/>
                <w:ilvl w:val="0"/>
              </w:numPr>
            </w:pPr>
            <w:r>
              <w:t xml:space="preserve">Greenfield implementation, debugging, test generation, behavior modification, filesystem/API integration, and security hardening tasks.</w:t>
            </w:r>
          </w:p>
          <w:p>
            <w:pPr>
              <w:pStyle w:val="Compact"/>
              <w:jc w:val="left"/>
              <w:numPr>
                <w:numId w:val="1005"/>
                <w:ilvl w:val="0"/>
              </w:numPr>
            </w:pPr>
            <w:r>
              <w:t xml:space="preserve">Agentic coding trajectories and SWE-style repository-level edit tasks.</w:t>
            </w:r>
          </w:p>
          <w:p>
            <w:pPr>
              <w:pStyle w:val="Compact"/>
              <w:jc w:val="left"/>
              <w:numPr>
                <w:numId w:val="1005"/>
                <w:ilvl w:val="0"/>
              </w:numPr>
            </w:pPr>
            <w:r>
              <w:t xml:space="preserve">Tool-use and function-calling conversations.</w:t>
            </w:r>
          </w:p>
        </w:tc>
      </w:tr>
    </w:tbl>
    <w:p>
      <w:pPr>
        <w:pStyle w:val="Heading3"/>
      </w:pPr>
      <w:bookmarkStart w:id="32" w:name="-2-4-user-data-"/>
      <w:bookmarkEnd w:id="32"/>
      <w:r>
        <w:rPr>
          <w:b/>
        </w:rPr>
        <w:t xml:space="preserve">2.4 User data</w:t>
      </w:r>
    </w:p>
    <w:tbl>
      <w:tblPr>
        <w:tblStyle w:val="TableNormal"/>
        <w:tblW w:type="pct" w:w="0.0"/>
        <w:tblLook/>
      </w:tblPr>
      <w:tblGrid/>
      <w:tr>
        <w:tc>
          <w:p>
            <w:pPr>
              <w:pStyle w:val="Compact"/>
              <w:jc w:val="left"/>
            </w:pPr>
            <w:r>
              <w:rPr>
                <w:b/>
              </w:rPr>
              <w:t xml:space="preserve">Was data from user interactions with the AI model used to train the model?</w:t>
            </w:r>
          </w:p>
        </w:tc>
        <w:tc>
          <w:p>
            <w:pPr>
              <w:pStyle w:val="Compact"/>
              <w:jc w:val="left"/>
            </w:pPr>
            <w:r>
              <w:t xml:space="preserve">[ ] Yes [x] No</w:t>
            </w:r>
          </w:p>
        </w:tc>
      </w:tr>
      <w:tr>
        <w:tc>
          <w:p>
            <w:pPr>
              <w:pStyle w:val="Compact"/>
              <w:jc w:val="left"/>
            </w:pPr>
            <w:r>
              <w:rPr>
                <w:b/>
              </w:rPr>
              <w:t xml:space="preserve">Was data from user interactions with the provider’s other services or products used?</w:t>
            </w:r>
          </w:p>
        </w:tc>
        <w:tc>
          <w:p>
            <w:pPr>
              <w:pStyle w:val="Compact"/>
              <w:jc w:val="left"/>
            </w:pPr>
            <w:r>
              <w:t xml:space="preserve">[ ] Yes [x] No</w:t>
            </w:r>
          </w:p>
        </w:tc>
      </w:tr>
      <w:tr>
        <w:tc>
          <w:p>
            <w:pPr>
              <w:pStyle w:val="Compact"/>
              <w:jc w:val="left"/>
            </w:pPr>
            <w:r>
              <w:rPr>
                <w:b/>
              </w:rPr>
              <w:t xml:space="preserve">Description of provider services or products used to collect user data</w:t>
            </w:r>
          </w:p>
        </w:tc>
        <w:tc>
          <w:p>
            <w:pPr>
              <w:pStyle w:val="Compact"/>
              <w:jc w:val="left"/>
            </w:pPr>
            <w:r>
              <w:t xml:space="preserve">Not applicable.</w:t>
            </w:r>
          </w:p>
        </w:tc>
      </w:tr>
      <w:tr>
        <w:tc>
          <w:p>
            <w:pPr>
              <w:pStyle w:val="Compact"/>
              <w:jc w:val="left"/>
            </w:pPr>
            <w:r>
              <w:rPr>
                <w:b/>
              </w:rPr>
              <w:t xml:space="preserve">Type of modality covered</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Not applicable.</w:t>
            </w:r>
          </w:p>
        </w:tc>
      </w:tr>
    </w:tbl>
    <w:p>
      <w:pPr>
        <w:pStyle w:val="Heading3"/>
      </w:pPr>
      <w:bookmarkStart w:id="33" w:name="-2-5-synthetic-data-"/>
      <w:bookmarkEnd w:id="33"/>
      <w:r>
        <w:rPr>
          <w:b/>
        </w:rPr>
        <w:t xml:space="preserve">2.5 Synthetic data</w:t>
      </w:r>
    </w:p>
    <w:tbl>
      <w:tblPr>
        <w:tblStyle w:val="TableNormal"/>
        <w:tblW w:type="pct" w:w="0.0"/>
        <w:tblLook/>
      </w:tblPr>
      <w:tblGrid/>
      <w:tr>
        <w:tc>
          <w:p>
            <w:pPr>
              <w:pStyle w:val="Compact"/>
              <w:jc w:val="left"/>
            </w:pPr>
            <w:r>
              <w:rPr>
                <w:b/>
              </w:rPr>
              <w:t xml:space="preserve">Was synthetic AI-generated data created by or on behalf of the provider used?</w:t>
            </w:r>
          </w:p>
        </w:tc>
        <w:tc>
          <w:p>
            <w:pPr>
              <w:pStyle w:val="Compact"/>
              <w:jc w:val="left"/>
            </w:pPr>
            <w:r>
              <w:t xml:space="preserve">[x] Yes [ ] No</w:t>
            </w:r>
          </w:p>
        </w:tc>
      </w:tr>
      <w:tr>
        <w:tc>
          <w:p>
            <w:pPr>
              <w:pStyle w:val="Compact"/>
              <w:jc w:val="left"/>
            </w:pPr>
            <w:r>
              <w:rPr>
                <w:b/>
              </w:rPr>
              <w:t xml:space="preserve">Modality of synthetic data</w:t>
            </w:r>
          </w:p>
        </w:tc>
        <w:tc>
          <w:p>
            <w:pPr>
              <w:pStyle w:val="Compact"/>
              <w:jc w:val="left"/>
            </w:pPr>
            <w:r>
              <w:t xml:space="preserve">[x] Text [ ] Image [ ] Video [ ] Audio [ ] Other</w:t>
            </w:r>
          </w:p>
        </w:tc>
      </w:tr>
      <w:tr>
        <w:tc>
          <w:p>
            <w:pPr>
              <w:pStyle w:val="Compact"/>
              <w:jc w:val="left"/>
            </w:pPr>
            <w:r>
              <w:rPr>
                <w:b/>
              </w:rPr>
              <w:t xml:space="preserve">General-purpose AI model(s) used to generate synthetic data</w:t>
            </w:r>
          </w:p>
        </w:tc>
        <w:tc>
          <w:p>
            <w:pPr>
              <w:pStyle w:val="Compact"/>
              <w:jc w:val="left"/>
            </w:pPr>
            <w:r>
              <w:t xml:space="preserve">Not specified.</w:t>
            </w:r>
          </w:p>
        </w:tc>
      </w:tr>
      <w:tr>
        <w:tc>
          <w:p>
            <w:pPr>
              <w:pStyle w:val="Compact"/>
              <w:jc w:val="left"/>
            </w:pPr>
            <w:r>
              <w:rPr>
                <w:b/>
              </w:rPr>
              <w:t xml:space="preserve">Other AI models, including provider-owned models not available on the market</w:t>
            </w:r>
          </w:p>
        </w:tc>
        <w:tc>
          <w:p>
            <w:pPr>
              <w:pStyle w:val="Compact"/>
              <w:jc w:val="left"/>
            </w:pPr>
            <w:r>
              <w:t xml:space="preserve">Not specified.</w:t>
            </w:r>
          </w:p>
        </w:tc>
      </w:tr>
      <w:tr>
        <w:tc>
          <w:p>
            <w:pPr>
              <w:pStyle w:val="Compact"/>
              <w:jc w:val="left"/>
            </w:pPr>
            <w:r>
              <w:rPr>
                <w:b/>
              </w:rPr>
              <w:t xml:space="preserve">Additional comments</w:t>
            </w:r>
          </w:p>
        </w:tc>
        <w:tc>
          <w:p>
            <w:pPr>
              <w:pStyle w:val="Compact"/>
              <w:jc w:val="left"/>
            </w:pPr>
            <w:r>
              <w:t xml:space="preserve">Synthetic/derived text includes code QA, code rewriting, code review, transpilation, educational explanations, code summarization, functionality extensions, programming language translation, test generation, commit messages, task descriptions, synthetic web corpora, and synthetic encyclopedic articles. RL also uses model rollouts scored by verifiers.</w:t>
            </w:r>
          </w:p>
        </w:tc>
      </w:tr>
    </w:tbl>
    <w:p>
      <w:pPr>
        <w:pStyle w:val="Heading3"/>
      </w:pPr>
      <w:bookmarkStart w:id="34" w:name="-2-6-other-sources-of-data-"/>
      <w:bookmarkEnd w:id="34"/>
      <w:r>
        <w:rPr>
          <w:b/>
        </w:rPr>
        <w:t xml:space="preserve">2.6 Other sources of data</w:t>
      </w:r>
    </w:p>
    <w:tbl>
      <w:tblPr>
        <w:tblStyle w:val="TableNormal"/>
        <w:tblW w:type="pct" w:w="5000.0"/>
        <w:tblLook/>
      </w:tblPr>
      <w:tblGrid>
        <w:gridCol w:w="3960"/>
        <w:gridCol w:w="3960"/>
      </w:tblGrid>
      <w:tr>
        <w:tc>
          <w:p>
            <w:pPr>
              <w:pStyle w:val="Compact"/>
            </w:pPr>
          </w:p>
        </w:tc>
        <w:tc>
          <w:p>
            <w:pPr>
              <w:pStyle w:val="Compact"/>
              <w:jc w:val="left"/>
              <w:numPr>
                <w:numId w:val="1006"/>
                <w:ilvl w:val="0"/>
              </w:numPr>
            </w:pPr>
            <w:r>
              <w:t xml:space="preserve">Safety refusal/safe-response data and identity examples.</w:t>
            </w:r>
          </w:p>
          <w:p>
            <w:pPr>
              <w:pStyle w:val="Compact"/>
              <w:jc w:val="left"/>
              <w:numPr>
                <w:numId w:val="1006"/>
                <w:ilvl w:val="0"/>
              </w:numPr>
            </w:pPr>
            <w:r>
              <w:t xml:space="preserve">Long-context repository-level FIM examples.</w:t>
            </w:r>
          </w:p>
        </w:tc>
      </w:tr>
      <w:tr>
        <w:tc>
          <w:p>
            <w:pPr>
              <w:pStyle w:val="Compact"/>
              <w:jc w:val="left"/>
            </w:pPr>
            <w:r>
              <w:rPr>
                <w:b/>
              </w:rPr>
              <w:t xml:space="preserve">Additional comments</w:t>
            </w:r>
          </w:p>
        </w:tc>
        <w:tc>
          <w:p>
            <w:pPr>
              <w:pStyle w:val="Compact"/>
              <w:jc w:val="left"/>
            </w:pPr>
            <w:r>
              <w:t xml:space="preserve">Some sources may overlap with public or synthetic categories.</w:t>
            </w:r>
          </w:p>
        </w:tc>
      </w:tr>
    </w:tbl>
    <w:p>
      <w:pPr>
        <w:pStyle w:val="Heading2"/>
      </w:pPr>
      <w:bookmarkStart w:id="35" w:name="-3-data-processing-aspects-"/>
      <w:bookmarkEnd w:id="35"/>
      <w:r>
        <w:rPr>
          <w:b/>
        </w:rPr>
        <w:t xml:space="preserve">3. Data processing aspects</w:t>
      </w:r>
    </w:p>
    <w:p>
      <w:pPr>
        <w:pStyle w:val="Heading3"/>
      </w:pPr>
      <w:bookmarkStart w:id="36" w:name="-3-1-respect-of-reservation-of-rights-from-text-and-data-mining-exception-or-limitation-"/>
      <w:bookmarkEnd w:id="36"/>
      <w:r>
        <w:rPr>
          <w:b/>
        </w:rPr>
        <w:t xml:space="preserve">3.1 Respect of reservation of rights from text and data mining exception or limitation</w:t>
      </w:r>
    </w:p>
    <w:tbl>
      <w:tblPr>
        <w:tblStyle w:val="TableNormal"/>
        <w:tblW w:type="pct" w:w="0.0"/>
        <w:tblLook/>
      </w:tblPr>
      <w:tblGrid/>
      <w:tr>
        <w:tc>
          <w:p>
            <w:pPr>
              <w:pStyle w:val="Compact"/>
              <w:jc w:val="left"/>
            </w:pPr>
            <w:r>
              <w:rPr>
                <w:b/>
              </w:rPr>
              <w:t xml:space="preserve">Signatory to the Code of Practice for GPAI models?</w:t>
            </w:r>
          </w:p>
        </w:tc>
        <w:tc>
          <w:p>
            <w:pPr>
              <w:pStyle w:val="Compact"/>
              <w:jc w:val="left"/>
            </w:pPr>
            <w:r>
              <w:t xml:space="preserve">No</w:t>
            </w:r>
          </w:p>
        </w:tc>
      </w:tr>
      <w:tr>
        <w:tc>
          <w:p>
            <w:pPr>
              <w:pStyle w:val="Compact"/>
              <w:jc w:val="left"/>
            </w:pPr>
            <w:r>
              <w:rPr>
                <w:b/>
              </w:rPr>
              <w:t xml:space="preserve">Measures implemented before model training to respect reservations of rights</w:t>
            </w:r>
          </w:p>
        </w:tc>
        <w:tc>
          <w:p>
            <w:pPr>
              <w:pStyle w:val="Compact"/>
              <w:jc w:val="left"/>
            </w:pPr>
            <w:r>
              <w:t xml:space="preserve">Raw code uses mostly permissively licensed public repositories. Non-standard licensing terms are reviewed by legal. Team checks whether TDM opt-out are not specified.</w:t>
            </w:r>
          </w:p>
        </w:tc>
      </w:tr>
      <w:tr>
        <w:tc>
          <w:p>
            <w:pPr>
              <w:pStyle w:val="Compact"/>
              <w:jc w:val="left"/>
            </w:pPr>
            <w:r>
              <w:rPr>
                <w:b/>
              </w:rPr>
              <w:t xml:space="preserve">Additional comments</w:t>
            </w:r>
          </w:p>
        </w:tc>
        <w:tc>
          <w:p>
            <w:pPr>
              <w:pStyle w:val="Compact"/>
              <w:jc w:val="left"/>
            </w:pPr>
            <w:r>
              <w:t xml:space="preserve">N/A</w:t>
            </w:r>
          </w:p>
        </w:tc>
      </w:tr>
    </w:tbl>
    <w:p>
      <w:pPr>
        <w:pStyle w:val="Heading3"/>
      </w:pPr>
      <w:bookmarkStart w:id="37" w:name="-3-2-removal-of-illegal-content-"/>
      <w:bookmarkEnd w:id="37"/>
      <w:r>
        <w:rPr>
          <w:b/>
        </w:rPr>
        <w:t xml:space="preserve">3.2 Removal of illegal content</w:t>
      </w:r>
    </w:p>
    <w:tbl>
      <w:tblPr>
        <w:tblStyle w:val="TableNormal"/>
        <w:tblW w:type="pct" w:w="0.0"/>
        <w:tblLook/>
      </w:tblPr>
      <w:tblGrid/>
      <w:tr>
        <w:tc>
          <w:p>
            <w:pPr>
              <w:pStyle w:val="Compact"/>
              <w:jc w:val="left"/>
            </w:pPr>
            <w:r>
              <w:rPr>
                <w:b/>
              </w:rPr>
              <w:t xml:space="preserve">General description of measures taken</w:t>
            </w:r>
          </w:p>
        </w:tc>
        <w:tc>
          <w:p>
            <w:pPr>
              <w:pStyle w:val="Compact"/>
              <w:jc w:val="left"/>
            </w:pPr>
            <w:r>
              <w:t xml:space="preserve">Training data is obtained from sources with low risk of illegal content selected individually by humans. Quality and safety processing includes heuristic filtering, code AST parseability checks, low-diversity sample filtering, web quality classifiers, MinHash near-deduplication for code, intra-phase web deduplication, and safety refusal/safe-response data.</w:t>
            </w:r>
          </w:p>
        </w:tc>
      </w:tr>
    </w:tbl>
    <w:p>
      <w:pPr>
        <w:pStyle w:val="Heading3"/>
      </w:pPr>
      <w:bookmarkStart w:id="38" w:name="-3-3-other-information-optional-"/>
      <w:bookmarkEnd w:id="38"/>
      <w:r>
        <w:rPr>
          <w:b/>
        </w:rPr>
        <w:t xml:space="preserve">3.3 Other information (optional)</w:t>
      </w:r>
    </w:p>
    <w:tbl>
      <w:tblPr>
        <w:tblStyle w:val="TableNormal"/>
        <w:tblW w:type="pct" w:w="5000.0"/>
        <w:tblLook/>
      </w:tblPr>
      <w:tblGrid>
        <w:gridCol w:w="3960"/>
        <w:gridCol w:w="3960"/>
      </w:tblGrid>
      <w:tr>
        <w:tc>
          <w:p>
            <w:pPr>
              <w:pStyle w:val="Compact"/>
              <w:jc w:val="left"/>
            </w:pPr>
            <w:r>
              <w:rPr>
                <w:b/>
              </w:rPr>
              <w:t xml:space="preserve">Other relevant data processing information</w:t>
            </w:r>
          </w:p>
        </w:tc>
        <w:tc>
          <w:p>
            <w:pPr>
              <w:pStyle w:val="Compact"/>
              <w:jc w:val="left"/>
              <w:numPr>
                <w:numId w:val="1007"/>
                <w:ilvl w:val="0"/>
              </w:numPr>
            </w:pPr>
            <w:r>
              <w:t xml:space="preserve">Three-phase web/code/math curriculum.</w:t>
            </w:r>
          </w:p>
          <w:p>
            <w:pPr>
              <w:pStyle w:val="Compact"/>
              <w:jc w:val="left"/>
              <w:numPr>
                <w:numId w:val="1007"/>
                <w:ilvl w:val="0"/>
              </w:numPr>
            </w:pPr>
            <w:r>
              <w:t xml:space="preserve">File-level code deduplication and intra-phase web deduplication.</w:t>
            </w:r>
          </w:p>
          <w:p>
            <w:pPr>
              <w:pStyle w:val="Compact"/>
              <w:jc w:val="left"/>
              <w:numPr>
                <w:numId w:val="1007"/>
                <w:ilvl w:val="0"/>
              </w:numPr>
            </w:pPr>
            <w:r>
              <w:t xml:space="preserve">Dataset repetition capped at 4x.</w:t>
            </w:r>
          </w:p>
          <w:p>
            <w:pPr>
              <w:pStyle w:val="Compact"/>
              <w:jc w:val="left"/>
              <w:numPr>
                <w:numId w:val="1007"/>
                <w:ilvl w:val="0"/>
              </w:numPr>
            </w:pPr>
            <w:r>
              <w:t xml:space="preserve">Fill-in-the-middle examples with PSM/SPM ordering.</w:t>
            </w:r>
          </w:p>
          <w:p>
            <w:pPr>
              <w:pStyle w:val="Compact"/>
              <w:jc w:val="left"/>
              <w:numPr>
                <w:numId w:val="1007"/>
                <w:ilvl w:val="0"/>
              </w:numPr>
            </w:pPr>
            <w:r>
              <w:t xml:space="preserve">Best-fit packing to 8,192-token pre-training and 131,072-token SFT sequences.</w:t>
            </w:r>
          </w:p>
          <w:p>
            <w:pPr>
              <w:pStyle w:val="Compact"/>
              <w:jc w:val="left"/>
              <w:numPr>
                <w:numId w:val="1007"/>
                <w:ilvl w:val="0"/>
              </w:numPr>
            </w:pPr>
            <w:r>
              <w:t xml:space="preserve">Long-context extension with layer-selective YaRN.</w:t>
            </w:r>
          </w:p>
          <w:p>
            <w:pPr>
              <w:pStyle w:val="Compact"/>
              <w:jc w:val="left"/>
              <w:numPr>
                <w:numId w:val="1007"/>
                <w:ilvl w:val="0"/>
              </w:numPr>
            </w:pPr>
            <w:r>
              <w:t xml:space="preserve">RLVR with code, math, judge, and task-specific verifiers.</w:t>
            </w:r>
          </w:p>
        </w:tc>
      </w:tr>
    </w:tbl>
    <w:p>
      <w:pPr>
        <w:pStyle w:val="FirstParagraph"/>
      </w:pPr>
      <w:r>
        <w:t xml:space="preserve">Appendix: variant-specific training stages</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Model identifier</w:t>
            </w:r>
          </w:p>
        </w:tc>
        <w:tc>
          <w:tcPr>
            <w:tcBorders>
              <w:bottom w:val="single"/>
            </w:tcBorders>
            <w:vAlign w:val="bottom"/>
          </w:tcPr>
          <w:p>
            <w:pPr>
              <w:pStyle w:val="Compact"/>
              <w:jc w:val="left"/>
            </w:pPr>
            <w:r>
              <w:t xml:space="preserve">Training stages and approximate extra data</w:t>
            </w:r>
          </w:p>
        </w:tc>
      </w:tr>
      <w:tr>
        <w:tc>
          <w:p>
            <w:pPr>
              <w:pStyle w:val="Compact"/>
              <w:jc w:val="left"/>
            </w:pPr>
            <w:r>
              <w:t xml:space="preserve">JetBrains/Mellum2-12B-A2.5B-Base-Pretrain</w:t>
            </w:r>
          </w:p>
        </w:tc>
        <w:tc>
          <w:p>
            <w:pPr>
              <w:pStyle w:val="Compact"/>
              <w:jc w:val="left"/>
            </w:pPr>
            <w:r>
              <w:t xml:space="preserve">Pre-training on ~10.65T tokens; native context length 8,192.</w:t>
            </w:r>
          </w:p>
        </w:tc>
      </w:tr>
      <w:tr>
        <w:tc>
          <w:p>
            <w:pPr>
              <w:pStyle w:val="Compact"/>
              <w:jc w:val="left"/>
            </w:pPr>
            <w:r>
              <w:t xml:space="preserve">JetBrains/Mellum2-12B-A2.5B-Base</w:t>
            </w:r>
          </w:p>
        </w:tc>
        <w:tc>
          <w:p>
            <w:pPr>
              <w:pStyle w:val="Compact"/>
              <w:jc w:val="left"/>
            </w:pPr>
            <w:r>
              <w:t xml:space="preserve">Base-Pretrain plus long-context extension to 131,072 tokens; ~117B long-context training tokens.</w:t>
            </w:r>
          </w:p>
        </w:tc>
      </w:tr>
      <w:tr>
        <w:tc>
          <w:p>
            <w:pPr>
              <w:pStyle w:val="Compact"/>
              <w:jc w:val="left"/>
            </w:pPr>
            <w:r>
              <w:t xml:space="preserve">JetBrains/Mellum2-12B-A2.5B-Instruct-SFT</w:t>
            </w:r>
          </w:p>
        </w:tc>
        <w:tc>
          <w:p>
            <w:pPr>
              <w:pStyle w:val="Compact"/>
              <w:jc w:val="left"/>
            </w:pPr>
            <w:r>
              <w:t xml:space="preserve">Base plus supervised fine-tuning as a no-thinking assistant; ~47B SFT tokens.</w:t>
            </w:r>
          </w:p>
        </w:tc>
      </w:tr>
      <w:tr>
        <w:tc>
          <w:p>
            <w:pPr>
              <w:pStyle w:val="Compact"/>
              <w:jc w:val="left"/>
            </w:pPr>
            <w:r>
              <w:t xml:space="preserve">JetBrains/Mellum2-12B-A2.5B-Thinking-SFT</w:t>
            </w:r>
          </w:p>
        </w:tc>
        <w:tc>
          <w:p>
            <w:pPr>
              <w:pStyle w:val="Compact"/>
              <w:jc w:val="left"/>
            </w:pPr>
            <w:r>
              <w:t xml:space="preserve">Base plus supervised fine-tuning as a reasoning-trace assistant; ~167B SFT tokens.</w:t>
            </w:r>
          </w:p>
        </w:tc>
      </w:tr>
      <w:tr>
        <w:tc>
          <w:p>
            <w:pPr>
              <w:pStyle w:val="Compact"/>
              <w:jc w:val="left"/>
            </w:pPr>
            <w:r>
              <w:t xml:space="preserve">JetBrains/Mellum2-12B-A2.5B-Instruct</w:t>
            </w:r>
          </w:p>
        </w:tc>
        <w:tc>
          <w:p>
            <w:pPr>
              <w:pStyle w:val="Compact"/>
              <w:jc w:val="left"/>
            </w:pPr>
            <w:r>
              <w:t xml:space="preserve">Instruct-SFT plus RLVR on the Instruct mix: ~260,500 training prompts and ~3,600 validation prompts; 500 RL steps.</w:t>
            </w:r>
          </w:p>
        </w:tc>
      </w:tr>
      <w:tr>
        <w:tc>
          <w:p>
            <w:pPr>
              <w:pStyle w:val="Compact"/>
              <w:jc w:val="left"/>
            </w:pPr>
            <w:r>
              <w:t xml:space="preserve">JetBrains/Mellum2-12B-A2.5B-Thinking</w:t>
            </w:r>
          </w:p>
        </w:tc>
        <w:tc>
          <w:p>
            <w:pPr>
              <w:pStyle w:val="Compact"/>
              <w:jc w:val="left"/>
            </w:pPr>
            <w:r>
              <w:t xml:space="preserve">Thinking-SFT plus RLVR on the Thinking mix: ~259,000 training prompts and ~3,600 validation prompts; 100 RL steps.</w:t>
            </w:r>
          </w:p>
        </w:tc>
      </w:tr>
    </w:tbl>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1767bed4"/>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6b547186"/>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2026-08-24T13:51:21Z</dcterms:created>
  <dcterms:modified xsi:type="dcterms:W3CDTF">2026-08-24T13:51:21Z</dcterms:modified>
</cp:coreProperties>
</file>