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entity.</w:t>
      </w:r>
      <w:r>
        <w:t xml:space="preserve"> </w:t>
      </w:r>
      <w:r>
        <w:t xml:space="preserve">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 copyrights</w:t>
      </w:r>
      <w:r>
        <w:t xml:space="preserve"> </w:t>
      </w:r>
      <w:r>
        <w:t xml:space="preserve">to 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</w:t>
      </w:r>
      <w:r>
        <w:t xml:space="preserve"> </w:t>
      </w:r>
      <w:r>
        <w:t xml:space="preserve">of 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</w:t>
      </w:r>
      <w:r>
        <w:t xml:space="preserve"> </w:t>
      </w:r>
      <w:r>
        <w:t xml:space="preserve">feedback 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 computers</w:t>
      </w:r>
      <w:r>
        <w:t xml:space="preserve"> </w:t>
      </w:r>
      <w:r>
        <w:t xml:space="preserve">and archives.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</w:t>
      </w:r>
      <w:r>
        <w:t xml:space="preserve"> </w:t>
      </w:r>
      <w:r>
        <w:t xml:space="preserve">trade 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Section titles are inserted for convenience only and will not affect in any way the meaning or</w:t>
      </w:r>
      <w:r>
        <w:t xml:space="preserve"> </w:t>
      </w:r>
      <w:r>
        <w:t xml:space="preserve">interpretation of this Agreement. If any provision of this Agreement is held invalid, the remainder of this</w:t>
      </w:r>
      <w:r>
        <w:t xml:space="preserve"> </w:t>
      </w:r>
      <w:r>
        <w:t xml:space="preserve">Agreement will continue in full force and effect. Either Licensor or Licensee may assign this Agreement in the</w:t>
      </w:r>
      <w:r>
        <w:t xml:space="preserve"> </w:t>
      </w:r>
      <w:r>
        <w:t xml:space="preserve">case of a merger or sale of substantially all of its respective assets to another entity. This Agreement will be</w:t>
      </w:r>
      <w:r>
        <w:t xml:space="preserve"> </w:t>
      </w:r>
      <w:r>
        <w:t xml:space="preserve">binding upon and 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1718/10,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80d61a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2026-01-06T12:09:06Z</dcterms:created>
  <dcterms:modified xsi:type="dcterms:W3CDTF">2026-01-06T12:09:06Z</dcterms:modified>
</cp:coreProperties>
</file>