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2.1, effective as of September 30, 2025</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CERTAIN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Product with which You are using JetBrains AI, information derived from the source code, and/or usage-related information from the User’s device submitted together with the Input or observed after receiving the Outputs.</w:t>
      </w:r>
    </w:p>
    <w:p>
      <w:pPr>
        <w:pStyle w:val="BodyText"/>
      </w:pPr>
      <w:r>
        <w:t xml:space="preserve">“</w:t>
      </w:r>
      <w:r>
        <w:rPr>
          <w:b/>
        </w:rPr>
        <w:t xml:space="preserve">Data Collection and Use Policy</w:t>
      </w:r>
      <w:r>
        <w:t xml:space="preserve">” means the Data Collection and Use Policy available at</w:t>
      </w:r>
      <w:r>
        <w:t xml:space="preserve"> </w:t>
      </w:r>
      <w:hyperlink r:id="rId26">
        <w:r>
          <w:rPr>
            <w:rStyle w:val="Hyperlink"/>
          </w:rPr>
          <w:t xml:space="preserve">https://www.jetbrains.com/help/ai/data-collection-and-use-policy.html</w:t>
        </w:r>
      </w:hyperlink>
      <w:r>
        <w:t xml:space="preserve">.</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7">
        <w:r>
          <w:rPr>
            <w:rStyle w:val="Hyperlink"/>
          </w:rPr>
          <w:t xml:space="preserve">https://www.jetbrains.com/help/ai/</w:t>
        </w:r>
      </w:hyperlink>
      <w:r>
        <w:t xml:space="preserve">, JetBrains Products-related documentation (when JetBrains AI is used with JetBrains Products),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AI</w:t>
      </w:r>
      <w:r>
        <w:t xml:space="preserve">” means a hosted service connecting a Product to the JetBrains AI platform powered by artificial intelligence models that allows You to leverage advanced AI-based features described in the Documentation.</w:t>
      </w:r>
    </w:p>
    <w:p>
      <w:pPr>
        <w:pStyle w:val="BodyText"/>
      </w:pPr>
      <w:r>
        <w:t xml:space="preserve">“</w:t>
      </w:r>
      <w:r>
        <w:rPr>
          <w:b/>
        </w:rPr>
        <w:t xml:space="preserve">JetBrains Website</w:t>
      </w:r>
      <w:r>
        <w:t xml:space="preserve">” means the JetBrains AI product website at</w:t>
      </w:r>
      <w:r>
        <w:t xml:space="preserve"> </w:t>
      </w:r>
      <w:hyperlink r:id="rId30">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Product</w:t>
      </w:r>
      <w:r>
        <w:t xml:space="preserve">” means any product or service that You use based on a separate agreement with JetBrains or a third party, in which You use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Heading2"/>
      </w:pPr>
      <w:bookmarkStart w:id="31" w:name="subscription-rights-and-responsibilities"/>
      <w:bookmarkEnd w:id="31"/>
      <w:r>
        <w:t xml:space="preserve">3. Subscription, Rights, and Responsibilities</w:t>
      </w:r>
    </w:p>
    <w:p>
      <w:pPr>
        <w:pStyle w:val="Heading3"/>
      </w:pPr>
      <w:bookmarkStart w:id="32" w:name="a-subscription"/>
      <w:bookmarkEnd w:id="32"/>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Products during the Subscription Period as specified in the Documentation and subject to certain limits and quota, which are described for every Subscription Plan on the JetBrains Website. We may limit Your access to JetBrains AI if You exceed the limits of Your Subscription Plan or internal limits for fair use.</w:t>
      </w:r>
    </w:p>
    <w:p>
      <w:pPr>
        <w:pStyle w:val="BodyText"/>
      </w:pPr>
      <w:r>
        <w:t xml:space="preserve">ii)</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3" w:name="b-right-to-use-jetbrains-ai"/>
      <w:bookmarkEnd w:id="33"/>
      <w:r>
        <w:t xml:space="preserve">b) Right to use JetBrains AI</w:t>
      </w:r>
    </w:p>
    <w:p>
      <w:pPr>
        <w:pStyle w:val="FirstParagraph"/>
      </w:pPr>
      <w:r>
        <w:t xml:space="preserve">You and Affiliates authorized by You can use JetBrains AI in connection with Products as long as You comply with these Terms, the Documentation, and the limits of Your Subscription. Subject to Your compliance with these Terms and Documentation, We grantsto You during the Subscription Period a non-exclusive, revocable, conditional, worldwide right to use JetBrains AI as laid out in this section.</w:t>
      </w:r>
    </w:p>
    <w:p>
      <w:pPr>
        <w:pStyle w:val="Heading3"/>
      </w:pPr>
      <w:bookmarkStart w:id="34" w:name="c-your-responsibilities"/>
      <w:bookmarkEnd w:id="34"/>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Acceptable Use Policy;</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the connected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JetBrains AI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 Every time You submit an Input to JetBrains AI, You confirm that You have the right to submit the Input and the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Outputs and Suggestions</w:t>
      </w:r>
    </w:p>
    <w:p>
      <w:pPr>
        <w:pStyle w:val="BodyText"/>
      </w:pPr>
      <w:r>
        <w:t xml:space="preserve">The Outputs and Suggestions generated for You will be considered Your Data, and We will not claim any right to, title to, or interest in them. You acknowledge that Outputs and Suggestions are generated as a non-exclusive response to Your work with the Products, so the same or similar Outputs or Suggestions can also be generated for other JetBrains AI customers, based on their inputs or context of their use of the Products. You also understand that the Outputs and Suggestions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your-inputs-data-and-outputs"/>
      <w:bookmarkEnd w:id="41"/>
      <w:r>
        <w:t xml:space="preserve">5. Access to Your Inputs, Data, and Outputs</w:t>
      </w:r>
    </w:p>
    <w:p>
      <w:pPr>
        <w:pStyle w:val="Heading3"/>
      </w:pPr>
      <w:bookmarkStart w:id="42" w:name="a-processing-of-your-inputs-and-data-in-jetbrains-ai"/>
      <w:bookmarkEnd w:id="42"/>
      <w:r>
        <w:t xml:space="preserve">a) Processing of Your Inputs and Data in JetBrains AI</w:t>
      </w:r>
    </w:p>
    <w:p>
      <w:pPr>
        <w:pStyle w:val="FirstParagraph"/>
      </w:pPr>
      <w:r>
        <w:t xml:space="preserve">If You use JetBrains AI, You give Us permission to process Your Inputs and Your Data shared by You for the purpose of providing You with the JetBrains AI service. JetBrains AI may also automatically select, read, and process some of Your Data in order to understand the context in which it should provide an Output or a Suggestion. With respect to features of JetBrains AI that by their nature require hosting of Your Data on Our servers (see the Documentation), You give Us permission to host, store, copy, alter, utilize, parse, and display Your Data in order to provide You with the service. More details about how We process and use Your Inputs, Data, Outputs and Suggestions are described in the Data Collection and Use Policy.</w:t>
      </w:r>
    </w:p>
    <w:p>
      <w:pPr>
        <w:pStyle w:val="Heading3"/>
      </w:pPr>
      <w:bookmarkStart w:id="43" w:name="b-access-control"/>
      <w:bookmarkEnd w:id="43"/>
      <w:r>
        <w:t xml:space="preserve">b) Access control</w:t>
      </w:r>
    </w:p>
    <w:p>
      <w:pPr>
        <w:pStyle w:val="FirstParagraph"/>
      </w:pPr>
      <w:r>
        <w:t xml:space="preserve">You give Us permission to use data related to Your use of JetBrains AI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JetBrains AI for usage analysis and product improvement as described in the Data Collection and Use Policy.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44" w:name="c-restriction-on-the-use-of-your-inputs-data-outputs-and-suggestions-for-the-training-of-ai-models"/>
      <w:bookmarkEnd w:id="44"/>
      <w:r>
        <w:t xml:space="preserve">c)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45" w:name="d-confidentiality"/>
      <w:bookmarkEnd w:id="45"/>
      <w: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the JetBrains AI service and to exercise Our rights and comply with Our obligations under these Terms or applicable law, except as expressly permitted in these Terms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6" w:name="e-engagement-of-third-party-language-model-service-providers"/>
      <w:bookmarkEnd w:id="46"/>
      <w:r>
        <w:t xml:space="preserve">e) Engagement of third-party language model service providers</w:t>
      </w:r>
    </w:p>
    <w:p>
      <w:pPr>
        <w:pStyle w:val="FirstParagraph"/>
      </w:pPr>
      <w:r>
        <w:t xml:space="preserve">We reserve the right to use third-party language model service providers published at</w:t>
      </w:r>
      <w:r>
        <w:t xml:space="preserve"> </w:t>
      </w:r>
      <w:hyperlink r:id="rId47">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upheld by Us, You have the right to terminate these Terms by a written notice delivered to Us before the date of such change to JetBrains’ AI Subcontractor becomes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w:t>
      </w:r>
    </w:p>
    <w:p>
      <w:pPr>
        <w:pStyle w:val="BodyText"/>
      </w:pPr>
      <w: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53" w:name="e-resolution-of-late-payments"/>
      <w:bookmarkEnd w:id="53"/>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 You must and must ensure that Your Users do not include or submit to the Services any Input or Data that is subject to the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Heading3"/>
      </w:pPr>
      <w:bookmarkStart w:id="73" w:name="a-these-terms-and-their-parties"/>
      <w:bookmarkEnd w:id="73"/>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Acceptable Use Policy.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
      <w:bookmarkEnd w:id="82"/>
      <w:r>
        <w:t xml:space="preserve">h) Changes to Terms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f403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2025-12-24T09:42:21Z</dcterms:created>
  <dcterms:modified xsi:type="dcterms:W3CDTF">2025-12-24T09:42:21Z</dcterms:modified>
</cp:coreProperties>
</file>