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12, 2024</w:t>
      </w:r>
    </w:p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</w:t>
            </w:r>
          </w:p>
        </w:tc>
        <w:tc>
          <w:p>
            <w:pPr>
              <w:pStyle w:val="Compact"/>
              <w:jc w:val="left"/>
            </w:pPr>
            <w:r>
              <w:t xml:space="preserve">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Anthropic AI models can be connected to the services either through Amazon Bedrock service provided by AWS or directly by JetBrains.</w:t>
      </w:r>
    </w:p>
    <w:p>
      <w:pPr>
        <w:pStyle w:val="BodyText"/>
      </w:pPr>
      <w:r>
        <w:rPr>
          <w:i/>
        </w:rPr>
        <w:t xml:space="preserve">We expect that JetBrains AI will start using Anthropic models in January, 2025 (not earlier than on January 12, 2025).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d1c64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2026-01-06T11:58:26Z</dcterms:created>
  <dcterms:modified xsi:type="dcterms:W3CDTF">2026-01-06T11:58:26Z</dcterms:modified>
</cp:coreProperties>
</file>