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10, Effective as of August 23, 2014</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14700,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(a)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(b)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This section 9 (b) is not applicable to Classroom Licenses and OS-Project Licenses which are subject to section 5 (d).</w:t>
      </w:r>
    </w:p>
    <w:p>
      <w:pPr>
        <w:pStyle w:val="BodyText"/>
      </w:pPr>
      <w:r>
        <w:t xml:space="preserve">(c) Upon installing any Upgrade, Licensee shall cease using any previous version of Software.</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Address Na hrebenech II 1718/10, Prague, 14700, Czech Republic</w:t>
      </w:r>
    </w:p>
    <w:p>
      <w:pPr>
        <w:pStyle w:val="BodyText"/>
      </w:pPr>
      <w:r>
        <w:t xml:space="preserve">Fax: +420 2 4172 2540</w:t>
      </w:r>
    </w:p>
    <w:p>
      <w:pPr>
        <w:pStyle w:val="BodyText"/>
      </w:pP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1c0a93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3"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3"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2026-01-06T12:51:27Z</dcterms:created>
  <dcterms:modified xsi:type="dcterms:W3CDTF">2026-01-06T12:51:27Z</dcterms:modified>
</cp:coreProperties>
</file>