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erver-commercial-license"/>
      <w:bookmarkEnd w:id="21"/>
      <w:r>
        <w:t xml:space="preserve">License Agreement for YouTrack</w:t>
      </w:r>
      <w:r>
        <w:br w:type="textWrapping"/>
      </w:r>
      <w:r>
        <w:t xml:space="preserve">(Server, Commercial License)</w:t>
      </w:r>
    </w:p>
    <w:p>
      <w:pPr>
        <w:pStyle w:val="FirstParagraph"/>
      </w:pPr>
      <w:r>
        <w:t xml:space="preserve">Version 13, Effective as of May 23, 2022</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t xml:space="preserve">“</w:t>
      </w:r>
      <w:r>
        <w:t xml:space="preserve">Third 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w:t>
      </w:r>
      <w:r>
        <w:t xml:space="preserve"> </w:t>
      </w:r>
      <w:r>
        <w:t xml:space="preserve">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renewal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Upgrade Subscription renewal, Licensee shall destroy any License key provided by Licensor during the previous Upgrade Subscription term and continue using Software with License key provided by Licensor for the new Upgrade Subscription term.</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2">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4164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1" Target="http://confluence.jetbrains.com/display/YTD5/Third-Party+Software+Used+by+YouTrack" TargetMode="External" /><Relationship Type="http://schemas.openxmlformats.org/officeDocument/2006/relationships/hyperlink" Id="rId29" Target="http://www.opensource.org/docs/osd" TargetMode="External" /><Relationship Type="http://schemas.openxmlformats.org/officeDocument/2006/relationships/hyperlink" Id="rId34" Target="https://www.jetbrains.com/" TargetMode="External" /><Relationship Type="http://schemas.openxmlformats.org/officeDocument/2006/relationships/hyperlink" Id="rId42"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2026-01-06T12:51:51Z</dcterms:created>
  <dcterms:modified xsi:type="dcterms:W3CDTF">2026-01-06T12:51:51Z</dcterms:modified>
</cp:coreProperties>
</file>