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"/>
      <w:bookmarkEnd w:id="21"/>
      <w:r>
        <w:rPr>
          <w:b/>
        </w:rPr>
        <w:t xml:space="preserve">Terms of Service - YouTrack InCloud</w:t>
      </w:r>
    </w:p>
    <w:p>
      <w:pPr>
        <w:pStyle w:val="FirstParagraph"/>
      </w:pPr>
      <w:r>
        <w:rPr>
          <w:b/>
        </w:rPr>
        <w:t xml:space="preserve">Version 1.2, effective as of November 6th, 2020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1718/10,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one month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c9bc2f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c6314118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d5de0d5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2026-01-06T12:54:19Z</dcterms:created>
  <dcterms:modified xsi:type="dcterms:W3CDTF">2026-01-06T12:54:19Z</dcterms:modified>
</cp:coreProperties>
</file>